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5620" w14:textId="77777777" w:rsidR="00C77648" w:rsidRDefault="00C77648" w:rsidP="00C77648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ABF The Soldiers’ Charity</w:t>
      </w:r>
    </w:p>
    <w:p w14:paraId="4E161216" w14:textId="554E4CD8" w:rsidR="00C77648" w:rsidRDefault="00386474" w:rsidP="00C77648">
      <w:pPr>
        <w:pStyle w:val="NormalWeb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COBSEO </w:t>
      </w:r>
      <w:r w:rsidR="00C77648">
        <w:rPr>
          <w:rFonts w:ascii="Calibri" w:hAnsi="Calibri" w:cs="Calibri"/>
          <w:b/>
          <w:bCs/>
          <w:sz w:val="22"/>
          <w:szCs w:val="22"/>
        </w:rPr>
        <w:t xml:space="preserve">Funding Principles </w:t>
      </w:r>
    </w:p>
    <w:p w14:paraId="2D6BAC5F" w14:textId="0C316C5F" w:rsidR="00386474" w:rsidRDefault="00386474" w:rsidP="00C776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partnership with our colleagues at </w:t>
      </w:r>
      <w:r w:rsidR="00C1798D">
        <w:rPr>
          <w:rFonts w:ascii="Calibri" w:hAnsi="Calibri" w:cs="Calibri"/>
          <w:sz w:val="22"/>
          <w:szCs w:val="22"/>
        </w:rPr>
        <w:t>The Royal Navy</w:t>
      </w:r>
      <w:r w:rsidR="00CB1467">
        <w:rPr>
          <w:rFonts w:ascii="Calibri" w:hAnsi="Calibri" w:cs="Calibri"/>
          <w:sz w:val="22"/>
          <w:szCs w:val="22"/>
        </w:rPr>
        <w:t xml:space="preserve"> and Royal Marines Charity and the Royal Air Force Benevolent</w:t>
      </w:r>
      <w:r w:rsidR="001708DB">
        <w:rPr>
          <w:rFonts w:ascii="Calibri" w:hAnsi="Calibri" w:cs="Calibri"/>
          <w:sz w:val="22"/>
          <w:szCs w:val="22"/>
        </w:rPr>
        <w:t xml:space="preserve"> </w:t>
      </w:r>
      <w:r w:rsidR="00CB1467">
        <w:rPr>
          <w:rFonts w:ascii="Calibri" w:hAnsi="Calibri" w:cs="Calibri"/>
          <w:sz w:val="22"/>
          <w:szCs w:val="22"/>
        </w:rPr>
        <w:t>Fund</w:t>
      </w:r>
      <w:r w:rsidR="001708DB">
        <w:rPr>
          <w:rFonts w:ascii="Calibri" w:hAnsi="Calibri" w:cs="Calibri"/>
          <w:sz w:val="22"/>
          <w:szCs w:val="22"/>
        </w:rPr>
        <w:t>, we have agreed the below</w:t>
      </w:r>
      <w:r w:rsidR="007403AD">
        <w:rPr>
          <w:rFonts w:ascii="Calibri" w:hAnsi="Calibri" w:cs="Calibri"/>
          <w:sz w:val="22"/>
          <w:szCs w:val="22"/>
        </w:rPr>
        <w:t xml:space="preserve"> core funding principles. </w:t>
      </w:r>
      <w:r w:rsidR="001708DB">
        <w:rPr>
          <w:rFonts w:ascii="Calibri" w:hAnsi="Calibri" w:cs="Calibri"/>
          <w:sz w:val="22"/>
          <w:szCs w:val="22"/>
        </w:rPr>
        <w:t xml:space="preserve"> </w:t>
      </w:r>
    </w:p>
    <w:p w14:paraId="2A5AA5F2" w14:textId="3BC05086" w:rsidR="00C77648" w:rsidRDefault="00C77648" w:rsidP="00C7764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reviewing </w:t>
      </w:r>
      <w:r w:rsidR="007403AD">
        <w:rPr>
          <w:rFonts w:ascii="Calibri" w:hAnsi="Calibri" w:cs="Calibri"/>
          <w:sz w:val="22"/>
          <w:szCs w:val="22"/>
        </w:rPr>
        <w:t>applications,</w:t>
      </w:r>
      <w:r>
        <w:rPr>
          <w:rFonts w:ascii="Calibri" w:hAnsi="Calibri" w:cs="Calibri"/>
          <w:sz w:val="22"/>
          <w:szCs w:val="22"/>
        </w:rPr>
        <w:t xml:space="preserve"> the Board of Trustees, supported by our Grants Committee are looking for the following in any application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:</w:t>
      </w:r>
    </w:p>
    <w:p w14:paraId="357ABB1C" w14:textId="522D9BF3" w:rsidR="00C77648" w:rsidRDefault="00C77648" w:rsidP="00C77648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1.  </w:t>
      </w:r>
      <w:r>
        <w:rPr>
          <w:rFonts w:ascii="Calibri" w:hAnsi="Calibri" w:cs="Calibri"/>
          <w:b/>
          <w:bCs/>
          <w:sz w:val="22"/>
          <w:szCs w:val="22"/>
        </w:rPr>
        <w:t>Evidence of need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7FFE64D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>Evidence of the need, and a beneficiary-centric approach to delivery that prioritises support for the beneficiary over which organisation should respond, and targets those most in need.</w:t>
      </w:r>
    </w:p>
    <w:p w14:paraId="190ED8F6" w14:textId="77777777" w:rsidR="00C77648" w:rsidRDefault="00C77648" w:rsidP="00C77648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 xml:space="preserve">Demonstrate the importance of the charitable service to the sector, both in terms of direct support to beneficiaries, and in substituting for gaps in statutory provision. </w:t>
      </w:r>
    </w:p>
    <w:p w14:paraId="2C255B85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Whether regional or national delivery is envisaged, and the rationale if replicating services that are already being provided</w:t>
      </w:r>
      <w:r>
        <w:rPr>
          <w:rFonts w:ascii="Calibri" w:hAnsi="Calibri" w:cs="Calibri"/>
          <w:sz w:val="22"/>
          <w:szCs w:val="22"/>
        </w:rPr>
        <w:t xml:space="preserve"> noting we look to the state as the first choice for delivery</w:t>
      </w:r>
      <w:r w:rsidRPr="00C77648">
        <w:rPr>
          <w:rFonts w:ascii="Calibri" w:hAnsi="Calibri" w:cs="Calibri"/>
          <w:sz w:val="22"/>
          <w:szCs w:val="22"/>
        </w:rPr>
        <w:t>.</w:t>
      </w:r>
    </w:p>
    <w:p w14:paraId="0B9C7D91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Consideration of the delivery options and rationale for the proposed way forward.</w:t>
      </w:r>
    </w:p>
    <w:p w14:paraId="7A9455E8" w14:textId="77777777" w:rsidR="00C77648" w:rsidRP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>Whether the need is temporary or enduring, and the likely impact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alleviating, resolving or preventing). </w:t>
      </w:r>
    </w:p>
    <w:p w14:paraId="410429A9" w14:textId="77777777" w:rsidR="00C77648" w:rsidRDefault="00C77648" w:rsidP="00C77648">
      <w:pPr>
        <w:pStyle w:val="NormalWeb"/>
        <w:numPr>
          <w:ilvl w:val="0"/>
          <w:numId w:val="1"/>
        </w:numPr>
      </w:pPr>
      <w:r w:rsidRPr="00C77648">
        <w:rPr>
          <w:rFonts w:ascii="Calibri" w:hAnsi="Calibri" w:cs="Calibri"/>
          <w:sz w:val="22"/>
          <w:szCs w:val="22"/>
        </w:rPr>
        <w:t xml:space="preserve">Any risk of reputation damage to the sector. </w:t>
      </w:r>
    </w:p>
    <w:p w14:paraId="7D71F78F" w14:textId="0307B458" w:rsidR="00C77648" w:rsidRDefault="00C77648" w:rsidP="00C77648">
      <w:pPr>
        <w:pStyle w:val="NormalWeb"/>
        <w:numPr>
          <w:ilvl w:val="0"/>
          <w:numId w:val="2"/>
        </w:numPr>
      </w:pPr>
      <w:r w:rsidRPr="00C77648">
        <w:rPr>
          <w:rFonts w:ascii="Calibri" w:hAnsi="Calibri" w:cs="Calibri"/>
          <w:b/>
          <w:bCs/>
          <w:sz w:val="22"/>
          <w:szCs w:val="22"/>
        </w:rPr>
        <w:t>Impact and effectiveness of delivery</w:t>
      </w:r>
      <w:r w:rsidRPr="00C77648">
        <w:rPr>
          <w:rFonts w:ascii="Calibri" w:hAnsi="Calibri" w:cs="Calibri"/>
          <w:sz w:val="22"/>
          <w:szCs w:val="22"/>
        </w:rPr>
        <w:t xml:space="preserve">. </w:t>
      </w:r>
    </w:p>
    <w:p w14:paraId="77C97EE0" w14:textId="77777777" w:rsidR="00C77648" w:rsidRPr="00C77648" w:rsidRDefault="00C77648" w:rsidP="00C7764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Evidence of cooperation, partnerships, efficiency and rationalisation, particularly where there are other organisations operating in the same sector.</w:t>
      </w:r>
    </w:p>
    <w:p w14:paraId="24C679A0" w14:textId="77777777" w:rsidR="00C77648" w:rsidRDefault="00C77648" w:rsidP="00C77648">
      <w:pPr>
        <w:pStyle w:val="NormalWeb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Evidence of plans being in place to ensure beneficiary needs are met, including on a sustainable basis where the need is enduring. </w:t>
      </w:r>
    </w:p>
    <w:p w14:paraId="48EDB329" w14:textId="77777777" w:rsidR="00C77648" w:rsidRPr="00C77648" w:rsidRDefault="00C77648" w:rsidP="00C77648">
      <w:pPr>
        <w:pStyle w:val="NormalWeb"/>
        <w:numPr>
          <w:ilvl w:val="0"/>
          <w:numId w:val="3"/>
        </w:numPr>
      </w:pPr>
      <w:r w:rsidRPr="00C77648">
        <w:rPr>
          <w:rFonts w:ascii="Calibri" w:hAnsi="Calibri" w:cs="Calibri"/>
          <w:sz w:val="22"/>
          <w:szCs w:val="22"/>
        </w:rPr>
        <w:t>Evidence of the effectiveness of the proposed services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evaluation processes in place).</w:t>
      </w:r>
    </w:p>
    <w:p w14:paraId="7B9F476E" w14:textId="17CA5A0F" w:rsidR="00C77648" w:rsidRDefault="00C77648" w:rsidP="00C77648">
      <w:pPr>
        <w:pStyle w:val="NormalWeb"/>
        <w:numPr>
          <w:ilvl w:val="0"/>
          <w:numId w:val="3"/>
        </w:numPr>
      </w:pPr>
      <w:r w:rsidRPr="00C77648">
        <w:rPr>
          <w:rFonts w:ascii="Calibri" w:hAnsi="Calibri" w:cs="Calibri"/>
          <w:sz w:val="22"/>
          <w:szCs w:val="22"/>
        </w:rPr>
        <w:t>Engagement with, and adherence to, sector support infrastructure where necessary (</w:t>
      </w:r>
      <w:proofErr w:type="spellStart"/>
      <w:r w:rsidRPr="00C77648">
        <w:rPr>
          <w:rFonts w:ascii="Calibri" w:hAnsi="Calibri" w:cs="Calibri"/>
          <w:sz w:val="22"/>
          <w:szCs w:val="22"/>
        </w:rPr>
        <w:t>eg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 Casework Steering Group tenets for </w:t>
      </w:r>
      <w:proofErr w:type="spellStart"/>
      <w:r w:rsidRPr="00C77648">
        <w:rPr>
          <w:rFonts w:ascii="Calibri" w:hAnsi="Calibri" w:cs="Calibri"/>
          <w:sz w:val="22"/>
          <w:szCs w:val="22"/>
        </w:rPr>
        <w:t>caseworking</w:t>
      </w:r>
      <w:proofErr w:type="spellEnd"/>
      <w:r w:rsidRPr="00C77648">
        <w:rPr>
          <w:rFonts w:ascii="Calibri" w:hAnsi="Calibri" w:cs="Calibri"/>
          <w:sz w:val="22"/>
          <w:szCs w:val="22"/>
        </w:rPr>
        <w:t xml:space="preserve">). </w:t>
      </w:r>
    </w:p>
    <w:p w14:paraId="288439E7" w14:textId="0CAA5A30" w:rsidR="00C77648" w:rsidRDefault="00C77648" w:rsidP="00C77648">
      <w:pPr>
        <w:pStyle w:val="NormalWeb"/>
        <w:numPr>
          <w:ilvl w:val="0"/>
          <w:numId w:val="2"/>
        </w:numPr>
      </w:pPr>
      <w:r>
        <w:rPr>
          <w:rFonts w:ascii="Calibri" w:hAnsi="Calibri" w:cs="Calibri"/>
          <w:b/>
          <w:bCs/>
          <w:sz w:val="22"/>
          <w:szCs w:val="22"/>
        </w:rPr>
        <w:t>Efficient use of resources and an effective organization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18BB2BA" w14:textId="77777777" w:rsidR="00C77648" w:rsidRP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Evidence of financial sustainability, both now, and with developed plans in place to sustain services in the longer term.</w:t>
      </w:r>
    </w:p>
    <w:p w14:paraId="45720DDD" w14:textId="77777777" w:rsidR="00C77648" w:rsidRP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Complementary fundraising arrangements are in place.</w:t>
      </w:r>
    </w:p>
    <w:p w14:paraId="19F3FEE0" w14:textId="77777777" w:rsidR="00C77648" w:rsidRDefault="00C77648" w:rsidP="00C77648">
      <w:pPr>
        <w:pStyle w:val="NormalWeb"/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Engagement with other funders to bring in additional investment that will enhance support to beneficiaries. </w:t>
      </w:r>
    </w:p>
    <w:p w14:paraId="79E6F7F1" w14:textId="6F513891" w:rsidR="00C77648" w:rsidRDefault="00C77648" w:rsidP="00C77648">
      <w:pPr>
        <w:pStyle w:val="NormalWeb"/>
        <w:numPr>
          <w:ilvl w:val="0"/>
          <w:numId w:val="4"/>
        </w:numPr>
      </w:pPr>
      <w:r w:rsidRPr="00C77648">
        <w:rPr>
          <w:rFonts w:ascii="Calibri" w:hAnsi="Calibri" w:cs="Calibri"/>
          <w:sz w:val="22"/>
          <w:szCs w:val="22"/>
        </w:rPr>
        <w:t xml:space="preserve">An effective reserves policy is in place. This is assessed with a high degree of context and subjectivity. Reserves need to be sufficient, but not excessive. Liquidity can be as important a factor as value. </w:t>
      </w:r>
    </w:p>
    <w:p w14:paraId="74732E0F" w14:textId="77777777" w:rsidR="00121585" w:rsidRDefault="00121585"/>
    <w:sectPr w:rsidR="00121585" w:rsidSect="003842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15B"/>
    <w:multiLevelType w:val="hybridMultilevel"/>
    <w:tmpl w:val="3946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4A2"/>
    <w:multiLevelType w:val="hybridMultilevel"/>
    <w:tmpl w:val="1AC2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26A0"/>
    <w:multiLevelType w:val="hybridMultilevel"/>
    <w:tmpl w:val="131222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143B2"/>
    <w:multiLevelType w:val="hybridMultilevel"/>
    <w:tmpl w:val="9F5E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8"/>
    <w:rsid w:val="00121585"/>
    <w:rsid w:val="001708DB"/>
    <w:rsid w:val="00384230"/>
    <w:rsid w:val="00386474"/>
    <w:rsid w:val="007403AD"/>
    <w:rsid w:val="00C1798D"/>
    <w:rsid w:val="00C77648"/>
    <w:rsid w:val="00C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F135"/>
  <w15:chartTrackingRefBased/>
  <w15:docId w15:val="{2A682C07-1697-684A-8459-08B859C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ced4c2-3170-4ff8-b855-f34bee43350f">
      <UserInfo>
        <DisplayName>Barney Haugh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6126425A9BE40828E89575FFF9B91" ma:contentTypeVersion="12" ma:contentTypeDescription="Create a new document." ma:contentTypeScope="" ma:versionID="fe7ae5b60bfab4391ebc9d289566123e">
  <xsd:schema xmlns:xsd="http://www.w3.org/2001/XMLSchema" xmlns:xs="http://www.w3.org/2001/XMLSchema" xmlns:p="http://schemas.microsoft.com/office/2006/metadata/properties" xmlns:ns2="b6c10ab8-2b95-4a33-93f9-ad4446c4b00a" xmlns:ns3="5cced4c2-3170-4ff8-b855-f34bee43350f" targetNamespace="http://schemas.microsoft.com/office/2006/metadata/properties" ma:root="true" ma:fieldsID="63ae0ce3b4d890c70f6f3f28bcbbb665" ns2:_="" ns3:_="">
    <xsd:import namespace="b6c10ab8-2b95-4a33-93f9-ad4446c4b00a"/>
    <xsd:import namespace="5cced4c2-3170-4ff8-b855-f34bee433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10ab8-2b95-4a33-93f9-ad4446c4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d4c2-3170-4ff8-b855-f34bee433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0F7C0-C065-406B-B6E2-F592F0238944}">
  <ds:schemaRefs>
    <ds:schemaRef ds:uri="b6c10ab8-2b95-4a33-93f9-ad4446c4b00a"/>
    <ds:schemaRef ds:uri="http://purl.org/dc/dcmitype/"/>
    <ds:schemaRef ds:uri="http://purl.org/dc/elements/1.1/"/>
    <ds:schemaRef ds:uri="5cced4c2-3170-4ff8-b855-f34bee43350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50A2B5-5D1B-42F1-9FBF-F88428D58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773B6-C64D-4248-9977-70939CE2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10ab8-2b95-4a33-93f9-ad4446c4b00a"/>
    <ds:schemaRef ds:uri="5cced4c2-3170-4ff8-b855-f34bee43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Haugh</dc:creator>
  <cp:keywords/>
  <dc:description/>
  <cp:lastModifiedBy>Catriona Spiller</cp:lastModifiedBy>
  <cp:revision>6</cp:revision>
  <dcterms:created xsi:type="dcterms:W3CDTF">2020-07-09T08:32:00Z</dcterms:created>
  <dcterms:modified xsi:type="dcterms:W3CDTF">2020-07-22T11:05:00Z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0x0101004166126425A9BE40828E89575FFF9B91</vt:lpwstr>
  </property>
</Properties>
</file>